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9BFAE">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513645</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Prague, Czech Republic, Oct. 13-17,</w:t>
      </w:r>
      <w:r>
        <w:rPr>
          <w:rFonts w:hint="default" w:ascii="Times New Roman" w:hAnsi="Times New Roman" w:cs="Times New Roman"/>
          <w:b/>
          <w:bCs/>
          <w:sz w:val="24"/>
          <w:highlight w:val="none"/>
        </w:rPr>
        <w:t xml:space="preserve"> 2025</w:t>
      </w:r>
    </w:p>
    <w:p w14:paraId="0C560141">
      <w:pPr>
        <w:tabs>
          <w:tab w:val="left" w:pos="1985"/>
        </w:tabs>
        <w:rPr>
          <w:rFonts w:ascii="Times New Roman" w:hAnsi="Times New Roman"/>
          <w:b/>
          <w:sz w:val="22"/>
          <w:highlight w:val="none"/>
        </w:rPr>
      </w:pPr>
    </w:p>
    <w:p w14:paraId="59468D55">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6</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2.3</w:t>
      </w:r>
    </w:p>
    <w:p w14:paraId="1F1B280F">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5D3DC2C7">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performance requirements for conditional Intra-CU LTM</w:t>
      </w:r>
    </w:p>
    <w:bookmarkEnd w:id="4"/>
    <w:bookmarkEnd w:id="5"/>
    <w:p w14:paraId="58A2DA4F">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41F9F1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72C029F">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mobility enhancements Phase 4 was approved [1]. In RAN #107 meeting, the revised WID was approved [2]. The detailed objectives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1E74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F3D9A2B">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inter-CU Layer1/Layer 2 Triggered Mobility (LTM) [RAN2, RAN3]</w:t>
            </w:r>
          </w:p>
          <w:p w14:paraId="0FA7B20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Prioritize the case when CU is acting as MN when DC is not configured</w:t>
            </w:r>
          </w:p>
          <w:p w14:paraId="2D1C8E0E">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When DC is configured, inter-CU LTM can be configured either in MN or in SN but not both at the same time. For such cases:</w:t>
            </w:r>
          </w:p>
          <w:p w14:paraId="70C48CAC">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SN and MN is unchanged</w:t>
            </w:r>
          </w:p>
          <w:p w14:paraId="1A2B5C89">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MN and SN is unchanged or SN is released</w:t>
            </w:r>
          </w:p>
          <w:p w14:paraId="4D6BB9DA">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subsequent LTM mobility procedures aiming to avoid RRC configuration between cell switches as per Rel-18 LTM</w:t>
            </w:r>
          </w:p>
          <w:p w14:paraId="4B682715">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Coordination with SA3 needed with respect to security key handling </w:t>
            </w:r>
          </w:p>
          <w:p w14:paraId="1CDE32EF">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Rel. 18 intra-CU LTM procedure is considered as baseline for adding inter-CU support</w:t>
            </w:r>
          </w:p>
          <w:p w14:paraId="7B90E04D">
            <w:pPr>
              <w:rPr>
                <w:rFonts w:hint="default" w:ascii="Times New Roman" w:hAnsi="Times New Roman" w:cs="Times New Roman"/>
                <w:sz w:val="20"/>
                <w:szCs w:val="20"/>
                <w:highlight w:val="cyan"/>
              </w:rPr>
            </w:pPr>
          </w:p>
          <w:p w14:paraId="48DB8AAF">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Measurements related enhancements for purpose of supporting LTM: [RAN2, RAN1]</w:t>
            </w:r>
          </w:p>
          <w:p w14:paraId="245D2808">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 related enhancements are applicable to Intra-CU MCG/SCG LTM and Inter-CU MCG/SCG LTM</w:t>
            </w:r>
          </w:p>
          <w:p w14:paraId="2964379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components to support event triggered L1 measurement reporting [RAN2, RAN1]</w:t>
            </w:r>
          </w:p>
          <w:p w14:paraId="34499450">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CSI-RS measurements for LTM procedures and enable CSI-RS based beam management [RAN1]</w:t>
            </w:r>
          </w:p>
          <w:p w14:paraId="1570B45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CSI acquisition on candidate cell(s) based on CSI-RS before or during LTM cell switch [RAN1]</w:t>
            </w:r>
          </w:p>
          <w:p w14:paraId="3DF003E0">
            <w:pPr>
              <w:pStyle w:val="13"/>
              <w:ind w:left="360" w:firstLine="360"/>
              <w:rPr>
                <w:rFonts w:hint="default" w:ascii="Times New Roman" w:hAnsi="Times New Roman" w:cs="Times New Roman"/>
                <w:sz w:val="20"/>
                <w:szCs w:val="20"/>
              </w:rPr>
            </w:pPr>
          </w:p>
          <w:p w14:paraId="1B714048">
            <w:pPr>
              <w:pStyle w:val="13"/>
              <w:ind w:left="360" w:firstLine="360"/>
              <w:rPr>
                <w:rFonts w:hint="default" w:ascii="Times New Roman" w:hAnsi="Times New Roman" w:cs="Times New Roman"/>
                <w:sz w:val="20"/>
                <w:szCs w:val="20"/>
              </w:rPr>
            </w:pPr>
            <w:r>
              <w:rPr>
                <w:rFonts w:hint="default" w:ascii="Times New Roman" w:hAnsi="Times New Roman" w:cs="Times New Roman"/>
                <w:sz w:val="20"/>
                <w:szCs w:val="20"/>
              </w:rPr>
              <w:t xml:space="preserve">NOTE: </w:t>
            </w:r>
            <w:r>
              <w:rPr>
                <w:rFonts w:hint="default" w:ascii="Times New Roman" w:hAnsi="Times New Roman" w:cs="Times New Roman"/>
                <w:sz w:val="20"/>
                <w:szCs w:val="20"/>
              </w:rPr>
              <w:tab/>
            </w:r>
            <w:r>
              <w:rPr>
                <w:rFonts w:hint="default" w:ascii="Times New Roman" w:hAnsi="Times New Roman" w:cs="Times New Roman"/>
                <w:sz w:val="20"/>
                <w:szCs w:val="20"/>
              </w:rPr>
              <w:t>RAN1 WG to decide on whether to support CSI report before or during the LTM cell switch, as part of the CSI acquisition procedure.</w:t>
            </w:r>
          </w:p>
          <w:p w14:paraId="1F39107D">
            <w:pPr>
              <w:rPr>
                <w:rFonts w:hint="default" w:ascii="Times New Roman" w:hAnsi="Times New Roman" w:cs="Times New Roman"/>
                <w:sz w:val="20"/>
                <w:szCs w:val="20"/>
              </w:rPr>
            </w:pPr>
          </w:p>
          <w:p w14:paraId="3B01BDEE">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of conditional Intra-CU LTM [RAN2, RAN3, RAN1]</w:t>
            </w:r>
          </w:p>
          <w:p w14:paraId="7E97777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UE evaluated conditions for triggering LTM</w:t>
            </w:r>
          </w:p>
          <w:p w14:paraId="58675DE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Aim to support conditional LTM including subsequent LTM</w:t>
            </w:r>
          </w:p>
          <w:p w14:paraId="56E2DF5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Limit specifying the conditional LTM to the scenario where the UE is in non-DC </w:t>
            </w:r>
          </w:p>
          <w:p w14:paraId="58DA3F55">
            <w:pPr>
              <w:rPr>
                <w:rFonts w:hint="default" w:ascii="Times New Roman" w:hAnsi="Times New Roman" w:cs="Times New Roman"/>
                <w:sz w:val="20"/>
                <w:szCs w:val="20"/>
              </w:rPr>
            </w:pPr>
          </w:p>
          <w:p w14:paraId="026186E9">
            <w:pPr>
              <w:numPr>
                <w:ilvl w:val="0"/>
                <w:numId w:val="3"/>
              </w:numPr>
              <w:spacing w:after="0"/>
              <w:rPr>
                <w:rFonts w:hint="default" w:ascii="Times New Roman" w:hAnsi="Times New Roman" w:cs="Times New Roman"/>
                <w:sz w:val="20"/>
                <w:szCs w:val="20"/>
                <w:vertAlign w:val="baseline"/>
                <w:lang w:val="en-US" w:eastAsia="zh-CN"/>
              </w:rPr>
            </w:pPr>
            <w:r>
              <w:rPr>
                <w:rFonts w:hint="default" w:ascii="Times New Roman" w:hAnsi="Times New Roman" w:cs="Times New Roman"/>
                <w:bCs/>
                <w:sz w:val="20"/>
                <w:szCs w:val="20"/>
              </w:rPr>
              <w:t>Specify RRM requirements related to the above objectives as necessary [RAN4]</w:t>
            </w:r>
          </w:p>
        </w:tc>
      </w:tr>
    </w:tbl>
    <w:p w14:paraId="0C3C4F89">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eastAsia="宋体"/>
          <w:sz w:val="20"/>
          <w:szCs w:val="20"/>
          <w:lang w:val="en-US" w:eastAsia="zh-CN"/>
        </w:rPr>
      </w:pPr>
      <w:r>
        <w:rPr>
          <w:rFonts w:hint="eastAsia" w:ascii="Times New Roman" w:hAnsi="Times New Roman"/>
          <w:sz w:val="20"/>
          <w:szCs w:val="20"/>
          <w:lang w:val="en-US" w:eastAsia="zh-CN"/>
        </w:rPr>
        <w:t>In last meeting, there is discussion for RRM performance requirements for NR mobility enhancements, and a WF was approved [3]</w:t>
      </w:r>
      <w:r>
        <w:rPr>
          <w:rFonts w:hint="eastAsia" w:ascii="Times New Roman" w:hAnsi="Times New Roman"/>
          <w:sz w:val="20"/>
          <w:szCs w:val="20"/>
        </w:rPr>
        <w:t>.</w:t>
      </w:r>
      <w:r>
        <w:rPr>
          <w:rFonts w:hint="eastAsia" w:ascii="Times New Roman" w:hAnsi="Times New Roman"/>
          <w:sz w:val="20"/>
          <w:szCs w:val="20"/>
          <w:lang w:val="en-US" w:eastAsia="zh-CN"/>
        </w:rPr>
        <w:t xml:space="preserve">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RRM performance requirements for conditional Intra-CU LTM</w:t>
      </w:r>
      <w:r>
        <w:rPr>
          <w:rFonts w:hint="eastAsia" w:ascii="Times New Roman" w:hAnsi="Times New Roman"/>
          <w:bCs/>
          <w:iCs/>
          <w:sz w:val="20"/>
          <w:szCs w:val="20"/>
        </w:rPr>
        <w:t>.</w:t>
      </w:r>
    </w:p>
    <w:p w14:paraId="5708A40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p w14:paraId="696C398D">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Both CLTM and subsequent CLTM are considered. CLTM cell switch delay requirements and subsequent CLTM  cell switch delay requirements will be defined. It is necessary to define test cases for the two cases.</w:t>
      </w:r>
    </w:p>
    <w:p w14:paraId="55A27FF3">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it is proposed to define test cases for CLTM cell switch delay and subsequent CLTM cell switch delay. </w:t>
      </w:r>
    </w:p>
    <w:p w14:paraId="6B4C34A4">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previous meeting, it was agreed that Rel-19 CLTM requirements are applicable for NR SA scenarios. In detail, following cases are agreed.</w:t>
      </w:r>
    </w:p>
    <w:p w14:paraId="5455D561">
      <w:pPr>
        <w:numPr>
          <w:ilvl w:val="0"/>
          <w:numId w:val="4"/>
        </w:numPr>
        <w:overflowPunct w:val="0"/>
        <w:autoSpaceDE w:val="0"/>
        <w:autoSpaceDN w:val="0"/>
        <w:adjustRightInd w:val="0"/>
        <w:snapToGrid w:val="0"/>
        <w:spacing w:after="120"/>
        <w:ind w:left="1720" w:leftChars="5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PCell switch to a neighboring LTM candidate cell</w:t>
      </w:r>
    </w:p>
    <w:p w14:paraId="7BE7C3D9">
      <w:pPr>
        <w:numPr>
          <w:ilvl w:val="0"/>
          <w:numId w:val="5"/>
        </w:numPr>
        <w:overflowPunct w:val="0"/>
        <w:autoSpaceDE w:val="0"/>
        <w:autoSpaceDN w:val="0"/>
        <w:adjustRightInd w:val="0"/>
        <w:snapToGrid w:val="0"/>
        <w:spacing w:after="120"/>
        <w:ind w:left="2200" w:leftChars="7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FR1 cell to FR1 cell</w:t>
      </w:r>
    </w:p>
    <w:p w14:paraId="05516554">
      <w:pPr>
        <w:numPr>
          <w:ilvl w:val="0"/>
          <w:numId w:val="5"/>
        </w:numPr>
        <w:overflowPunct w:val="0"/>
        <w:autoSpaceDE w:val="0"/>
        <w:autoSpaceDN w:val="0"/>
        <w:adjustRightInd w:val="0"/>
        <w:snapToGrid w:val="0"/>
        <w:spacing w:after="120"/>
        <w:ind w:left="2200" w:leftChars="7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FR1 cell to FR2 cell</w:t>
      </w:r>
    </w:p>
    <w:p w14:paraId="1EA906FB">
      <w:pPr>
        <w:numPr>
          <w:ilvl w:val="0"/>
          <w:numId w:val="5"/>
        </w:numPr>
        <w:overflowPunct w:val="0"/>
        <w:autoSpaceDE w:val="0"/>
        <w:autoSpaceDN w:val="0"/>
        <w:adjustRightInd w:val="0"/>
        <w:snapToGrid w:val="0"/>
        <w:spacing w:after="120"/>
        <w:ind w:left="2200" w:leftChars="7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FR2 cell to FR2 cell</w:t>
      </w:r>
    </w:p>
    <w:p w14:paraId="557D9F41">
      <w:pPr>
        <w:numPr>
          <w:ilvl w:val="0"/>
          <w:numId w:val="5"/>
        </w:numPr>
        <w:overflowPunct w:val="0"/>
        <w:autoSpaceDE w:val="0"/>
        <w:autoSpaceDN w:val="0"/>
        <w:adjustRightInd w:val="0"/>
        <w:snapToGrid w:val="0"/>
        <w:spacing w:after="120"/>
        <w:ind w:left="2200" w:leftChars="7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FR2 cell to FR1 cell</w:t>
      </w:r>
    </w:p>
    <w:p w14:paraId="4F5352CF">
      <w:pPr>
        <w:numPr>
          <w:ilvl w:val="0"/>
          <w:numId w:val="4"/>
        </w:numPr>
        <w:overflowPunct w:val="0"/>
        <w:autoSpaceDE w:val="0"/>
        <w:autoSpaceDN w:val="0"/>
        <w:adjustRightInd w:val="0"/>
        <w:snapToGrid w:val="0"/>
        <w:spacing w:after="120"/>
        <w:ind w:left="1720" w:leftChars="5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PCell switch to an LTM candidate cell that is a serving SCell in MCG</w:t>
      </w:r>
    </w:p>
    <w:p w14:paraId="4A9CB301">
      <w:pPr>
        <w:numPr>
          <w:ilvl w:val="0"/>
          <w:numId w:val="5"/>
        </w:numPr>
        <w:overflowPunct w:val="0"/>
        <w:autoSpaceDE w:val="0"/>
        <w:autoSpaceDN w:val="0"/>
        <w:adjustRightInd w:val="0"/>
        <w:snapToGrid w:val="0"/>
        <w:spacing w:after="120"/>
        <w:ind w:left="2200" w:leftChars="7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FR1 cell to FR1 cell</w:t>
      </w:r>
    </w:p>
    <w:p w14:paraId="788C051A">
      <w:pPr>
        <w:numPr>
          <w:ilvl w:val="0"/>
          <w:numId w:val="5"/>
        </w:numPr>
        <w:overflowPunct w:val="0"/>
        <w:autoSpaceDE w:val="0"/>
        <w:autoSpaceDN w:val="0"/>
        <w:adjustRightInd w:val="0"/>
        <w:snapToGrid w:val="0"/>
        <w:spacing w:after="120"/>
        <w:ind w:left="2200" w:leftChars="750" w:hanging="400" w:hangingChars="200"/>
        <w:rPr>
          <w:rFonts w:hint="default" w:ascii="Times New Roman" w:hAnsi="Times New Roman" w:eastAsia="等线" w:cs="Times New Roman"/>
          <w:color w:val="000000"/>
          <w:kern w:val="2"/>
          <w:sz w:val="20"/>
          <w:szCs w:val="20"/>
          <w:lang w:val="en-US"/>
        </w:rPr>
      </w:pPr>
      <w:r>
        <w:rPr>
          <w:rFonts w:hint="default" w:ascii="Times New Roman" w:hAnsi="Times New Roman" w:eastAsia="等线" w:cs="Times New Roman"/>
          <w:color w:val="000000"/>
          <w:kern w:val="2"/>
          <w:sz w:val="20"/>
          <w:szCs w:val="20"/>
          <w:lang w:val="en-US"/>
        </w:rPr>
        <w:t>FR2 cell to FR2 cell</w:t>
      </w:r>
    </w:p>
    <w:p w14:paraId="0EB44F7E">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From test coverage point of view, it is necessary to define test cases to cover these cases.</w:t>
      </w:r>
    </w:p>
    <w:p w14:paraId="4EFDC92C">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 for CLTM and subsequent CLTM, it is proposed to define the test cases for following scenarios:</w:t>
      </w:r>
    </w:p>
    <w:p w14:paraId="62C5D7FC">
      <w:pPr>
        <w:keepNext w:val="0"/>
        <w:keepLines w:val="0"/>
        <w:pageBreakBefore w:val="0"/>
        <w:widowControl w:val="0"/>
        <w:numPr>
          <w:ilvl w:val="0"/>
          <w:numId w:val="6"/>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PCell switch to a neighboring LTM candidate cell</w:t>
      </w:r>
    </w:p>
    <w:p w14:paraId="39C6AAB6">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FR1 cell to FR1 cell</w:t>
      </w:r>
    </w:p>
    <w:p w14:paraId="50C31FB6">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FR1 cell to FR2 cell</w:t>
      </w:r>
    </w:p>
    <w:p w14:paraId="3821BB2D">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FR2 cell to FR2 cell</w:t>
      </w:r>
    </w:p>
    <w:p w14:paraId="6E70C880">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FR2 cell to FR1 cell</w:t>
      </w:r>
    </w:p>
    <w:p w14:paraId="63CA4158">
      <w:pPr>
        <w:keepNext w:val="0"/>
        <w:keepLines w:val="0"/>
        <w:pageBreakBefore w:val="0"/>
        <w:widowControl w:val="0"/>
        <w:numPr>
          <w:ilvl w:val="0"/>
          <w:numId w:val="6"/>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PCell switch to an LTM candidate cell that is a serving SCell in MCG</w:t>
      </w:r>
    </w:p>
    <w:p w14:paraId="7E5C25C7">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FR1 cell to FR1 cell</w:t>
      </w:r>
    </w:p>
    <w:p w14:paraId="432B7325">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FR2 cell to FR2 cell</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4744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BC14DCE">
            <w:pPr>
              <w:pStyle w:val="5"/>
              <w:numPr>
                <w:ilvl w:val="0"/>
                <w:numId w:val="0"/>
              </w:numPr>
              <w:tabs>
                <w:tab w:val="left" w:pos="432"/>
                <w:tab w:val="clear" w:pos="864"/>
              </w:tabs>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4-3-2: CLTM test scope - intra/inter-frequency</w:t>
            </w:r>
          </w:p>
          <w:p w14:paraId="71D2C022">
            <w:pPr>
              <w:spacing w:after="120"/>
              <w:rPr>
                <w:rFonts w:hint="default" w:ascii="Times New Roman" w:hAnsi="Times New Roman" w:cs="Times New Roman"/>
                <w:b/>
                <w:bCs/>
                <w:color w:val="000000" w:themeColor="text1"/>
                <w:sz w:val="20"/>
                <w:szCs w:val="20"/>
                <w14:textFill>
                  <w14:solidFill>
                    <w14:schemeClr w14:val="tx1"/>
                  </w14:solidFill>
                </w14:textFill>
              </w:rPr>
            </w:pPr>
            <w:r>
              <w:rPr>
                <w:rFonts w:hint="default" w:ascii="Times New Roman" w:hAnsi="Times New Roman" w:cs="Times New Roman"/>
                <w:b/>
                <w:bCs/>
                <w:color w:val="000000" w:themeColor="text1"/>
                <w:sz w:val="20"/>
                <w:szCs w:val="20"/>
                <w14:textFill>
                  <w14:solidFill>
                    <w14:schemeClr w14:val="tx1"/>
                  </w14:solidFill>
                </w14:textFill>
              </w:rPr>
              <w:t>Candidate options:</w:t>
            </w:r>
          </w:p>
          <w:p w14:paraId="3D21DE19">
            <w:pPr>
              <w:pStyle w:val="14"/>
              <w:numPr>
                <w:ilvl w:val="0"/>
                <w:numId w:val="8"/>
              </w:numPr>
              <w:spacing w:after="120"/>
              <w:ind w:firstLineChars="0"/>
              <w:rPr>
                <w:rFonts w:hint="default" w:ascii="Times New Roman" w:hAnsi="Times New Roman" w:eastAsia="Times New Roman" w:cs="Times New Roman"/>
                <w:b/>
                <w:bCs/>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14:textFill>
                  <w14:solidFill>
                    <w14:schemeClr w14:val="tx1"/>
                  </w14:solidFill>
                </w14:textFill>
              </w:rPr>
              <w:t>Option 1: cover both intra and inter-frequency CLTM. (Nokia, Apple, CTC, vivo, ZTE, HW)</w:t>
            </w:r>
          </w:p>
          <w:p w14:paraId="575247C3">
            <w:pPr>
              <w:spacing w:after="120"/>
              <w:rPr>
                <w:rFonts w:hint="default" w:ascii="Times New Roman" w:hAnsi="Times New Roman" w:cs="Times New Roman"/>
                <w:b/>
                <w:bCs/>
                <w:color w:val="000000" w:themeColor="text1"/>
                <w:sz w:val="20"/>
                <w:szCs w:val="20"/>
                <w14:textFill>
                  <w14:solidFill>
                    <w14:schemeClr w14:val="tx1"/>
                  </w14:solidFill>
                </w14:textFill>
              </w:rPr>
            </w:pPr>
            <w:r>
              <w:rPr>
                <w:rFonts w:hint="default" w:ascii="Times New Roman" w:hAnsi="Times New Roman" w:cs="Times New Roman"/>
                <w:b/>
                <w:bCs/>
                <w:color w:val="000000" w:themeColor="text1"/>
                <w:sz w:val="20"/>
                <w:szCs w:val="20"/>
                <w14:textFill>
                  <w14:solidFill>
                    <w14:schemeClr w14:val="tx1"/>
                  </w14:solidFill>
                </w14:textFill>
              </w:rPr>
              <w:t>Recommended WF:</w:t>
            </w:r>
          </w:p>
          <w:p w14:paraId="0A97E626">
            <w:pPr>
              <w:pStyle w:val="14"/>
              <w:numPr>
                <w:ilvl w:val="0"/>
                <w:numId w:val="8"/>
              </w:numPr>
              <w:spacing w:after="120"/>
              <w:ind w:firstLineChars="0"/>
              <w:rPr>
                <w:rFonts w:hint="default" w:ascii="Times New Roman" w:hAnsi="Times New Roman" w:eastAsia="宋体" w:cs="Times New Roman"/>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14:textFill>
                  <w14:solidFill>
                    <w14:schemeClr w14:val="tx1"/>
                  </w14:solidFill>
                </w14:textFill>
              </w:rPr>
              <w:t>Continue discussion.</w:t>
            </w:r>
          </w:p>
          <w:p w14:paraId="044F66B1">
            <w:pPr>
              <w:rPr>
                <w:rFonts w:hint="default" w:ascii="Times New Roman" w:hAnsi="Times New Roman" w:cs="Times New Roman"/>
                <w:sz w:val="20"/>
                <w:szCs w:val="20"/>
              </w:rPr>
            </w:pPr>
          </w:p>
          <w:p w14:paraId="75234AB2">
            <w:pPr>
              <w:pStyle w:val="5"/>
              <w:numPr>
                <w:ilvl w:val="0"/>
                <w:numId w:val="0"/>
              </w:numPr>
              <w:tabs>
                <w:tab w:val="left" w:pos="432"/>
                <w:tab w:val="clear" w:pos="864"/>
              </w:tabs>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4-3-3: CLTM test scope – L1/L3 based CLTM</w:t>
            </w:r>
          </w:p>
          <w:p w14:paraId="65F589EB">
            <w:pPr>
              <w:spacing w:after="120"/>
              <w:rPr>
                <w:rFonts w:hint="default" w:ascii="Times New Roman" w:hAnsi="Times New Roman" w:cs="Times New Roman"/>
                <w:b/>
                <w:bCs/>
                <w:color w:val="000000" w:themeColor="text1"/>
                <w:sz w:val="20"/>
                <w:szCs w:val="20"/>
                <w14:textFill>
                  <w14:solidFill>
                    <w14:schemeClr w14:val="tx1"/>
                  </w14:solidFill>
                </w14:textFill>
              </w:rPr>
            </w:pPr>
            <w:r>
              <w:rPr>
                <w:rFonts w:hint="default" w:ascii="Times New Roman" w:hAnsi="Times New Roman" w:cs="Times New Roman"/>
                <w:b/>
                <w:bCs/>
                <w:color w:val="000000" w:themeColor="text1"/>
                <w:sz w:val="20"/>
                <w:szCs w:val="20"/>
                <w14:textFill>
                  <w14:solidFill>
                    <w14:schemeClr w14:val="tx1"/>
                  </w14:solidFill>
                </w14:textFill>
              </w:rPr>
              <w:t>Candidate options:</w:t>
            </w:r>
          </w:p>
          <w:p w14:paraId="17B8F4EF">
            <w:pPr>
              <w:pStyle w:val="14"/>
              <w:numPr>
                <w:ilvl w:val="0"/>
                <w:numId w:val="8"/>
              </w:numPr>
              <w:spacing w:after="120"/>
              <w:ind w:firstLineChars="0"/>
              <w:rPr>
                <w:rFonts w:hint="default" w:ascii="Times New Roman" w:hAnsi="Times New Roman" w:eastAsia="Times New Roman" w:cs="Times New Roman"/>
                <w:b/>
                <w:bCs/>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14:textFill>
                  <w14:solidFill>
                    <w14:schemeClr w14:val="tx1"/>
                  </w14:solidFill>
                </w14:textFill>
              </w:rPr>
              <w:t>Option 1: cover both L1 and L3 based CLTM. (Nokia, CATT, CTC, ZTE, E///)</w:t>
            </w:r>
          </w:p>
          <w:p w14:paraId="2D993244">
            <w:pPr>
              <w:pStyle w:val="14"/>
              <w:numPr>
                <w:ilvl w:val="1"/>
                <w:numId w:val="8"/>
              </w:numPr>
              <w:spacing w:after="120"/>
              <w:ind w:firstLineChars="0"/>
              <w:rPr>
                <w:rFonts w:hint="default" w:ascii="Times New Roman" w:hAnsi="Times New Roman" w:eastAsia="Times New Roman" w:cs="Times New Roman"/>
                <w:b/>
                <w:bCs/>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14:textFill>
                  <w14:solidFill>
                    <w14:schemeClr w14:val="tx1"/>
                  </w14:solidFill>
                </w14:textFill>
              </w:rPr>
              <w:t xml:space="preserve">Option 1a: </w:t>
            </w:r>
            <w:bookmarkStart w:id="8" w:name="_Toc197422252"/>
            <w:r>
              <w:rPr>
                <w:rFonts w:hint="default" w:ascii="Times New Roman" w:hAnsi="Times New Roman" w:eastAsia="宋体" w:cs="Times New Roman"/>
                <w:color w:val="000000" w:themeColor="text1"/>
                <w:sz w:val="20"/>
                <w:szCs w:val="20"/>
                <w14:textFill>
                  <w14:solidFill>
                    <w14:schemeClr w14:val="tx1"/>
                  </w14:solidFill>
                </w14:textFill>
              </w:rPr>
              <w:t>RAN4 to discuss how to verify L1 and L3 measurement based candidate evaluation for CLTM</w:t>
            </w:r>
            <w:bookmarkEnd w:id="8"/>
            <w:r>
              <w:rPr>
                <w:rFonts w:hint="default" w:ascii="Times New Roman" w:hAnsi="Times New Roman" w:eastAsia="宋体" w:cs="Times New Roman"/>
                <w:color w:val="000000" w:themeColor="text1"/>
                <w:sz w:val="20"/>
                <w:szCs w:val="20"/>
                <w14:textFill>
                  <w14:solidFill>
                    <w14:schemeClr w14:val="tx1"/>
                  </w14:solidFill>
                </w14:textFill>
              </w:rPr>
              <w:t xml:space="preserve"> such as whether to reuse partial LTM test procedure. (E///)</w:t>
            </w:r>
          </w:p>
          <w:p w14:paraId="692A3271">
            <w:pPr>
              <w:pStyle w:val="14"/>
              <w:numPr>
                <w:ilvl w:val="0"/>
                <w:numId w:val="8"/>
              </w:numPr>
              <w:spacing w:after="120"/>
              <w:ind w:firstLineChars="0"/>
              <w:rPr>
                <w:rFonts w:hint="default" w:ascii="Times New Roman" w:hAnsi="Times New Roman" w:eastAsia="Times New Roman" w:cs="Times New Roman"/>
                <w:b/>
                <w:bCs/>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14:textFill>
                  <w14:solidFill>
                    <w14:schemeClr w14:val="tx1"/>
                  </w14:solidFill>
                </w14:textFill>
              </w:rPr>
              <w:t>Option 2: only test L1 based CLTM. (OPPO, MTK)</w:t>
            </w:r>
          </w:p>
          <w:p w14:paraId="12DE0DCB">
            <w:pPr>
              <w:spacing w:after="120"/>
              <w:rPr>
                <w:rFonts w:hint="default" w:ascii="Times New Roman" w:hAnsi="Times New Roman" w:cs="Times New Roman"/>
                <w:b/>
                <w:bCs/>
                <w:color w:val="000000" w:themeColor="text1"/>
                <w:sz w:val="20"/>
                <w:szCs w:val="20"/>
                <w14:textFill>
                  <w14:solidFill>
                    <w14:schemeClr w14:val="tx1"/>
                  </w14:solidFill>
                </w14:textFill>
              </w:rPr>
            </w:pPr>
            <w:r>
              <w:rPr>
                <w:rFonts w:hint="default" w:ascii="Times New Roman" w:hAnsi="Times New Roman" w:cs="Times New Roman"/>
                <w:b/>
                <w:bCs/>
                <w:color w:val="000000" w:themeColor="text1"/>
                <w:sz w:val="20"/>
                <w:szCs w:val="20"/>
                <w14:textFill>
                  <w14:solidFill>
                    <w14:schemeClr w14:val="tx1"/>
                  </w14:solidFill>
                </w14:textFill>
              </w:rPr>
              <w:t>Recommended WF:</w:t>
            </w:r>
          </w:p>
          <w:p w14:paraId="6BC3D812">
            <w:pPr>
              <w:pStyle w:val="14"/>
              <w:numPr>
                <w:ilvl w:val="0"/>
                <w:numId w:val="8"/>
              </w:numPr>
              <w:spacing w:after="120"/>
              <w:ind w:firstLineChars="0"/>
              <w:rPr>
                <w:rFonts w:hint="default" w:ascii="Times New Roman" w:hAnsi="Times New Roman" w:eastAsia="宋体" w:cs="Times New Roman"/>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14:textFill>
                  <w14:solidFill>
                    <w14:schemeClr w14:val="tx1"/>
                  </w14:solidFill>
                </w14:textFill>
              </w:rPr>
              <w:t xml:space="preserve">Discuss the options </w:t>
            </w:r>
          </w:p>
          <w:p w14:paraId="1D14F581">
            <w:pPr>
              <w:rPr>
                <w:rFonts w:hint="default" w:ascii="Times New Roman" w:hAnsi="Times New Roman" w:cs="Times New Roman"/>
                <w:sz w:val="20"/>
                <w:szCs w:val="20"/>
              </w:rPr>
            </w:pPr>
          </w:p>
          <w:p w14:paraId="481B273C">
            <w:pPr>
              <w:pStyle w:val="5"/>
              <w:numPr>
                <w:ilvl w:val="0"/>
                <w:numId w:val="0"/>
              </w:numPr>
              <w:tabs>
                <w:tab w:val="left" w:pos="432"/>
                <w:tab w:val="clear" w:pos="864"/>
              </w:tabs>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4-3-4: CLTM test scope – RACH-less and RACH-based CLTM</w:t>
            </w:r>
          </w:p>
          <w:p w14:paraId="54BD0CAD">
            <w:pPr>
              <w:spacing w:after="120"/>
              <w:rPr>
                <w:rFonts w:hint="default" w:ascii="Times New Roman" w:hAnsi="Times New Roman" w:cs="Times New Roman"/>
                <w:b/>
                <w:bCs/>
                <w:color w:val="000000" w:themeColor="text1"/>
                <w:sz w:val="20"/>
                <w:szCs w:val="20"/>
                <w14:textFill>
                  <w14:solidFill>
                    <w14:schemeClr w14:val="tx1"/>
                  </w14:solidFill>
                </w14:textFill>
              </w:rPr>
            </w:pPr>
            <w:r>
              <w:rPr>
                <w:rFonts w:hint="default" w:ascii="Times New Roman" w:hAnsi="Times New Roman" w:cs="Times New Roman"/>
                <w:b/>
                <w:bCs/>
                <w:color w:val="000000" w:themeColor="text1"/>
                <w:sz w:val="20"/>
                <w:szCs w:val="20"/>
                <w14:textFill>
                  <w14:solidFill>
                    <w14:schemeClr w14:val="tx1"/>
                  </w14:solidFill>
                </w14:textFill>
              </w:rPr>
              <w:t>Candidate options:</w:t>
            </w:r>
          </w:p>
          <w:p w14:paraId="739C278E">
            <w:pPr>
              <w:pStyle w:val="14"/>
              <w:numPr>
                <w:ilvl w:val="0"/>
                <w:numId w:val="8"/>
              </w:numPr>
              <w:spacing w:after="120"/>
              <w:ind w:firstLineChars="0"/>
              <w:rPr>
                <w:rFonts w:hint="default" w:ascii="Times New Roman" w:hAnsi="Times New Roman" w:eastAsia="Times New Roman" w:cs="Times New Roman"/>
                <w:b/>
                <w:bCs/>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14:textFill>
                  <w14:solidFill>
                    <w14:schemeClr w14:val="tx1"/>
                  </w14:solidFill>
                </w14:textFill>
              </w:rPr>
              <w:t>Option 1: cover both RACH-less and RACH based CLTM. (Nokia, CATT, CTC, OPPO, vivo, ZTE, HW)</w:t>
            </w:r>
          </w:p>
          <w:p w14:paraId="48A66334">
            <w:pPr>
              <w:pStyle w:val="14"/>
              <w:numPr>
                <w:ilvl w:val="0"/>
                <w:numId w:val="8"/>
              </w:numPr>
              <w:spacing w:after="120"/>
              <w:ind w:firstLineChars="0"/>
              <w:rPr>
                <w:rFonts w:hint="default" w:ascii="Times New Roman" w:hAnsi="Times New Roman" w:eastAsia="宋体" w:cs="Times New Roman"/>
                <w:b/>
                <w:bCs/>
                <w:color w:val="000000" w:themeColor="text1"/>
                <w:sz w:val="20"/>
                <w:szCs w:val="20"/>
                <w:lang w:val="zh-CN"/>
                <w14:textFill>
                  <w14:solidFill>
                    <w14:schemeClr w14:val="tx1"/>
                  </w14:solidFill>
                </w14:textFill>
              </w:rPr>
            </w:pPr>
            <w:r>
              <w:rPr>
                <w:rFonts w:hint="default" w:ascii="Times New Roman" w:hAnsi="Times New Roman" w:eastAsia="宋体" w:cs="Times New Roman"/>
                <w:color w:val="000000" w:themeColor="text1"/>
                <w:sz w:val="20"/>
                <w:szCs w:val="20"/>
                <w14:textFill>
                  <w14:solidFill>
                    <w14:schemeClr w14:val="tx1"/>
                  </w14:solidFill>
                </w14:textFill>
              </w:rPr>
              <w:t xml:space="preserve">Option 2: </w:t>
            </w:r>
            <w:r>
              <w:rPr>
                <w:rFonts w:hint="default" w:ascii="Times New Roman" w:hAnsi="Times New Roman" w:eastAsia="宋体" w:cs="Times New Roman"/>
                <w:color w:val="000000" w:themeColor="text1"/>
                <w:sz w:val="20"/>
                <w:szCs w:val="20"/>
                <w:lang w:val="zh-CN"/>
                <w14:textFill>
                  <w14:solidFill>
                    <w14:schemeClr w14:val="tx1"/>
                  </w14:solidFill>
                </w14:textFill>
              </w:rPr>
              <w:t>RAN4 to discuss how to verify both RACH based and RACH-less procedure for CLTM such as re-use partial LTM test procedure.</w:t>
            </w:r>
            <w:r>
              <w:rPr>
                <w:rFonts w:hint="default" w:ascii="Times New Roman" w:hAnsi="Times New Roman" w:eastAsia="宋体" w:cs="Times New Roman"/>
                <w:b/>
                <w:bCs/>
                <w:color w:val="000000" w:themeColor="text1"/>
                <w:sz w:val="20"/>
                <w:szCs w:val="20"/>
                <w:lang w:val="zh-CN"/>
                <w14:textFill>
                  <w14:solidFill>
                    <w14:schemeClr w14:val="tx1"/>
                  </w14:solidFill>
                </w14:textFill>
              </w:rPr>
              <w:t xml:space="preserve"> </w:t>
            </w:r>
            <w:r>
              <w:rPr>
                <w:rFonts w:hint="default" w:ascii="Times New Roman" w:hAnsi="Times New Roman" w:cs="Times New Roman"/>
                <w:color w:val="000000" w:themeColor="text1"/>
                <w:sz w:val="20"/>
                <w:szCs w:val="20"/>
                <w:lang w:val="zh-CN"/>
                <w14:textFill>
                  <w14:solidFill>
                    <w14:schemeClr w14:val="tx1"/>
                  </w14:solidFill>
                </w14:textFill>
              </w:rPr>
              <w:t>(E///)</w:t>
            </w:r>
          </w:p>
          <w:p w14:paraId="32389C08">
            <w:pPr>
              <w:spacing w:after="120"/>
              <w:rPr>
                <w:rFonts w:hint="default" w:ascii="Times New Roman" w:hAnsi="Times New Roman" w:cs="Times New Roman"/>
                <w:b/>
                <w:bCs/>
                <w:color w:val="000000" w:themeColor="text1"/>
                <w:sz w:val="20"/>
                <w:szCs w:val="20"/>
                <w14:textFill>
                  <w14:solidFill>
                    <w14:schemeClr w14:val="tx1"/>
                  </w14:solidFill>
                </w14:textFill>
              </w:rPr>
            </w:pPr>
            <w:r>
              <w:rPr>
                <w:rFonts w:hint="default" w:ascii="Times New Roman" w:hAnsi="Times New Roman" w:cs="Times New Roman"/>
                <w:b/>
                <w:bCs/>
                <w:color w:val="000000" w:themeColor="text1"/>
                <w:sz w:val="20"/>
                <w:szCs w:val="20"/>
                <w14:textFill>
                  <w14:solidFill>
                    <w14:schemeClr w14:val="tx1"/>
                  </w14:solidFill>
                </w14:textFill>
              </w:rPr>
              <w:t>Recommended WF:</w:t>
            </w:r>
          </w:p>
          <w:p w14:paraId="40847B67">
            <w:pPr>
              <w:pStyle w:val="14"/>
              <w:numPr>
                <w:ilvl w:val="0"/>
                <w:numId w:val="8"/>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color w:val="000000" w:themeColor="text1"/>
                <w:sz w:val="20"/>
                <w:szCs w:val="20"/>
                <w14:textFill>
                  <w14:solidFill>
                    <w14:schemeClr w14:val="tx1"/>
                  </w14:solidFill>
                </w14:textFill>
              </w:rPr>
              <w:t xml:space="preserve">Discuss the options </w:t>
            </w:r>
          </w:p>
        </w:tc>
      </w:tr>
    </w:tbl>
    <w:p w14:paraId="6D6F9F3B">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  </w:t>
      </w:r>
    </w:p>
    <w:p w14:paraId="50815EA0">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R18 LTM, the test cases are defined for both intra-frequency and inter-frequency. For CLTM, it is necessary to cover both cases. Similar situation exits for RACH-based and RACH-less cases, both need to be considered.</w:t>
      </w:r>
    </w:p>
    <w:p w14:paraId="74E73093">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 it is proposed to define test cases for both intra-frequency LTM and inter-frequency LTM.</w:t>
      </w:r>
    </w:p>
    <w:p w14:paraId="2EB2E5C2">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it is proposed to define test cases to cover </w:t>
      </w:r>
      <w:r>
        <w:rPr>
          <w:rFonts w:hint="default" w:ascii="Times New Roman" w:hAnsi="Times New Roman" w:eastAsia="宋体" w:cs="Times New Roman"/>
          <w:b/>
          <w:bCs/>
          <w:i/>
          <w:iCs/>
          <w:color w:val="000000" w:themeColor="text1"/>
          <w:sz w:val="20"/>
          <w:szCs w:val="20"/>
          <w14:textFill>
            <w14:solidFill>
              <w14:schemeClr w14:val="tx1"/>
            </w14:solidFill>
          </w14:textFill>
        </w:rPr>
        <w:t>both RACH-less and RACH based CLTM</w:t>
      </w:r>
      <w:r>
        <w:rPr>
          <w:rFonts w:hint="eastAsia" w:ascii="Times New Roman" w:hAnsi="Times New Roman" w:eastAsia="宋体" w:cs="Times New Roman"/>
          <w:b/>
          <w:bCs/>
          <w:i/>
          <w:iCs/>
          <w:color w:val="000000" w:themeColor="text1"/>
          <w:sz w:val="20"/>
          <w:szCs w:val="20"/>
          <w:lang w:val="en-US" w:eastAsia="zh-CN"/>
          <w14:textFill>
            <w14:solidFill>
              <w14:schemeClr w14:val="tx1"/>
            </w14:solidFill>
          </w14:textFill>
        </w:rPr>
        <w:t>.</w:t>
      </w:r>
    </w:p>
    <w:p w14:paraId="6D3308B3">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Normally, conditional LTM is based on L1 measurement. But </w:t>
      </w:r>
      <w:r>
        <w:rPr>
          <w:rFonts w:hint="default" w:ascii="Times New Roman" w:hAnsi="Times New Roman" w:cs="Times New Roman"/>
          <w:sz w:val="20"/>
          <w:szCs w:val="20"/>
          <w:lang w:val="en-US" w:eastAsia="zh-CN"/>
        </w:rPr>
        <w:t xml:space="preserve">RAN4 </w:t>
      </w:r>
      <w:r>
        <w:rPr>
          <w:rFonts w:hint="eastAsia" w:ascii="Times New Roman" w:hAnsi="Times New Roman" w:cs="Times New Roman"/>
          <w:sz w:val="20"/>
          <w:szCs w:val="20"/>
          <w:lang w:val="en-US" w:eastAsia="zh-CN"/>
        </w:rPr>
        <w:t>also</w:t>
      </w:r>
      <w:r>
        <w:rPr>
          <w:rFonts w:hint="default" w:ascii="Times New Roman" w:hAnsi="Times New Roman" w:cs="Times New Roman"/>
          <w:sz w:val="20"/>
          <w:szCs w:val="20"/>
          <w:lang w:val="en-US" w:eastAsia="zh-CN"/>
        </w:rPr>
        <w:t xml:space="preserve"> agreed to define the requirements for L3 measurement based conditional LTM</w:t>
      </w:r>
      <w:r>
        <w:rPr>
          <w:rFonts w:hint="eastAsia" w:ascii="Times New Roman" w:hAnsi="Times New Roman" w:cs="Times New Roman"/>
          <w:sz w:val="20"/>
          <w:szCs w:val="20"/>
          <w:lang w:val="en-US" w:eastAsia="zh-CN"/>
        </w:rPr>
        <w:t>. This agreements only apply to</w:t>
      </w:r>
      <w:r>
        <w:rPr>
          <w:rFonts w:hint="default" w:ascii="Times New Roman" w:hAnsi="Times New Roman" w:cs="Times New Roman"/>
          <w:sz w:val="20"/>
          <w:szCs w:val="20"/>
          <w:lang w:val="en-US" w:eastAsia="zh-CN"/>
        </w:rPr>
        <w:t xml:space="preserve"> FR1 </w:t>
      </w:r>
      <w:r>
        <w:rPr>
          <w:rFonts w:hint="eastAsia" w:ascii="Times New Roman" w:hAnsi="Times New Roman" w:cs="Times New Roman"/>
          <w:sz w:val="20"/>
          <w:szCs w:val="20"/>
          <w:lang w:val="en-US" w:eastAsia="zh-CN"/>
        </w:rPr>
        <w:t xml:space="preserve">CLTM </w:t>
      </w:r>
      <w:r>
        <w:rPr>
          <w:rFonts w:hint="default" w:ascii="Times New Roman" w:hAnsi="Times New Roman" w:cs="Times New Roman"/>
          <w:sz w:val="20"/>
          <w:szCs w:val="20"/>
          <w:lang w:val="en-US" w:eastAsia="zh-CN"/>
        </w:rPr>
        <w:t xml:space="preserve">and not </w:t>
      </w:r>
      <w:r>
        <w:rPr>
          <w:rFonts w:hint="eastAsia" w:ascii="Times New Roman" w:hAnsi="Times New Roman" w:cs="Times New Roman"/>
          <w:sz w:val="20"/>
          <w:szCs w:val="20"/>
          <w:lang w:val="en-US" w:eastAsia="zh-CN"/>
        </w:rPr>
        <w:t xml:space="preserve">apply to </w:t>
      </w:r>
      <w:r>
        <w:rPr>
          <w:rFonts w:hint="default" w:ascii="Times New Roman" w:hAnsi="Times New Roman" w:cs="Times New Roman"/>
          <w:sz w:val="20"/>
          <w:szCs w:val="20"/>
          <w:lang w:val="en-US" w:eastAsia="zh-CN"/>
        </w:rPr>
        <w:t>FR2</w:t>
      </w:r>
      <w:r>
        <w:rPr>
          <w:rFonts w:hint="eastAsia" w:ascii="Times New Roman" w:hAnsi="Times New Roman" w:cs="Times New Roman"/>
          <w:sz w:val="20"/>
          <w:szCs w:val="20"/>
          <w:lang w:val="en-US" w:eastAsia="zh-CN"/>
        </w:rPr>
        <w:t xml:space="preserve"> CLTM. It is necessary to define test cases to cover the case with L1 measurement based and the case with L3 measurement based.</w:t>
      </w:r>
    </w:p>
    <w:p w14:paraId="2DEFB0D0">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4: it is proposed to define test cases to </w:t>
      </w:r>
      <w:r>
        <w:rPr>
          <w:rFonts w:hint="default" w:ascii="Times New Roman" w:hAnsi="Times New Roman" w:eastAsia="宋体" w:cs="Times New Roman"/>
          <w:b/>
          <w:bCs/>
          <w:i/>
          <w:iCs/>
          <w:color w:val="000000" w:themeColor="text1"/>
          <w:sz w:val="20"/>
          <w:szCs w:val="20"/>
          <w14:textFill>
            <w14:solidFill>
              <w14:schemeClr w14:val="tx1"/>
            </w14:solidFill>
          </w14:textFill>
        </w:rPr>
        <w:t>cover both L1 and L3 based CLTM</w:t>
      </w:r>
    </w:p>
    <w:bookmarkEnd w:id="6"/>
    <w:bookmarkEnd w:id="7"/>
    <w:p w14:paraId="5187A4BE">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bookmarkStart w:id="9" w:name="_GoBack"/>
      <w:bookmarkEnd w:id="9"/>
      <w:r>
        <w:rPr>
          <w:rFonts w:ascii="Times New Roman" w:hAnsi="Times New Roman"/>
          <w:b w:val="0"/>
          <w:bCs w:val="0"/>
          <w:kern w:val="0"/>
          <w:sz w:val="36"/>
          <w:szCs w:val="36"/>
        </w:rPr>
        <w:t>Conclusion</w:t>
      </w:r>
    </w:p>
    <w:p w14:paraId="346578F3">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lang w:val="en-US" w:eastAsia="zh-CN"/>
        </w:rPr>
        <w:t>RRM performance requirements for conditional Intra-CU LTM</w:t>
      </w:r>
      <w:r>
        <w:rPr>
          <w:rFonts w:hint="eastAsia" w:ascii="Times New Roman" w:hAnsi="Times New Roman"/>
          <w:sz w:val="20"/>
          <w:szCs w:val="20"/>
          <w:highlight w:val="none"/>
        </w:rPr>
        <w:t>. The proposals are:</w:t>
      </w:r>
    </w:p>
    <w:p w14:paraId="48D70A5B">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it is proposed to define test cases for CLTM cell switch delay and subsequent CLTM cell switch delay. </w:t>
      </w:r>
    </w:p>
    <w:p w14:paraId="296E6D89">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 for CLTM and subsequent CLTM, it is proposed to define the test cases for following scenarios:</w:t>
      </w:r>
    </w:p>
    <w:p w14:paraId="118452F1">
      <w:pPr>
        <w:keepNext w:val="0"/>
        <w:keepLines w:val="0"/>
        <w:pageBreakBefore w:val="0"/>
        <w:widowControl w:val="0"/>
        <w:numPr>
          <w:ilvl w:val="0"/>
          <w:numId w:val="6"/>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PCell switch to a neighboring LTM candidate cell</w:t>
      </w:r>
    </w:p>
    <w:p w14:paraId="3B752D63">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FR1 cell to FR1 cell</w:t>
      </w:r>
    </w:p>
    <w:p w14:paraId="2D973A23">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FR1 cell to FR2 cell</w:t>
      </w:r>
    </w:p>
    <w:p w14:paraId="16947E39">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FR2 cell to FR2 cell</w:t>
      </w:r>
    </w:p>
    <w:p w14:paraId="0E9B011C">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FR2 cell to FR1 cell</w:t>
      </w:r>
    </w:p>
    <w:p w14:paraId="3B27DA17">
      <w:pPr>
        <w:keepNext w:val="0"/>
        <w:keepLines w:val="0"/>
        <w:pageBreakBefore w:val="0"/>
        <w:widowControl w:val="0"/>
        <w:numPr>
          <w:ilvl w:val="0"/>
          <w:numId w:val="6"/>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PCell switch to an LTM candidate cell that is a serving SCell in MCG</w:t>
      </w:r>
    </w:p>
    <w:p w14:paraId="38A2B4AC">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FR1 cell to FR1 cell</w:t>
      </w:r>
    </w:p>
    <w:p w14:paraId="50158CE2">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FR2 cell to FR2 cell</w:t>
      </w:r>
    </w:p>
    <w:p w14:paraId="37E3B389">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 it is proposed to define test cases for both intra-frequency LTM and inter-frequency LTM.</w:t>
      </w:r>
    </w:p>
    <w:p w14:paraId="2ADDBF36">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it is proposed to define test cases to cover </w:t>
      </w:r>
      <w:r>
        <w:rPr>
          <w:rFonts w:hint="default" w:ascii="Times New Roman" w:hAnsi="Times New Roman" w:eastAsia="宋体" w:cs="Times New Roman"/>
          <w:b/>
          <w:bCs/>
          <w:i/>
          <w:iCs/>
          <w:color w:val="000000" w:themeColor="text1"/>
          <w:sz w:val="20"/>
          <w:szCs w:val="20"/>
          <w14:textFill>
            <w14:solidFill>
              <w14:schemeClr w14:val="tx1"/>
            </w14:solidFill>
          </w14:textFill>
        </w:rPr>
        <w:t>both RACH-less and RACH based CLTM</w:t>
      </w:r>
      <w:r>
        <w:rPr>
          <w:rFonts w:hint="eastAsia" w:ascii="Times New Roman" w:hAnsi="Times New Roman" w:eastAsia="宋体" w:cs="Times New Roman"/>
          <w:b/>
          <w:bCs/>
          <w:i/>
          <w:iCs/>
          <w:color w:val="000000" w:themeColor="text1"/>
          <w:sz w:val="20"/>
          <w:szCs w:val="20"/>
          <w:lang w:val="en-US" w:eastAsia="zh-CN"/>
          <w14:textFill>
            <w14:solidFill>
              <w14:schemeClr w14:val="tx1"/>
            </w14:solidFill>
          </w14:textFill>
        </w:rPr>
        <w:t>.</w:t>
      </w:r>
    </w:p>
    <w:p w14:paraId="364DCE1E">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4: it is proposed to define test cases to </w:t>
      </w:r>
      <w:r>
        <w:rPr>
          <w:rFonts w:hint="default" w:ascii="Times New Roman" w:hAnsi="Times New Roman" w:eastAsia="宋体" w:cs="Times New Roman"/>
          <w:b/>
          <w:bCs/>
          <w:i/>
          <w:iCs/>
          <w:color w:val="000000" w:themeColor="text1"/>
          <w:sz w:val="20"/>
          <w:szCs w:val="20"/>
          <w14:textFill>
            <w14:solidFill>
              <w14:schemeClr w14:val="tx1"/>
            </w14:solidFill>
          </w14:textFill>
        </w:rPr>
        <w:t>cover both L1 and L3 based CLTM</w:t>
      </w:r>
    </w:p>
    <w:p w14:paraId="7E9E72E6">
      <w:pPr>
        <w:tabs>
          <w:tab w:val="left" w:pos="1134"/>
        </w:tabs>
        <w:spacing w:after="180" w:line="240" w:lineRule="exact"/>
        <w:rPr>
          <w:rFonts w:hint="eastAsia" w:ascii="Times New Roman" w:hAnsi="Times New Roman"/>
          <w:sz w:val="20"/>
          <w:szCs w:val="20"/>
          <w:highlight w:val="none"/>
        </w:rPr>
      </w:pPr>
    </w:p>
    <w:p w14:paraId="6F7B8728">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14CA13B">
      <w:pPr>
        <w:pStyle w:val="18"/>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34036</w:t>
      </w:r>
      <w:r>
        <w:rPr>
          <w:rFonts w:ascii="Times" w:hAnsi="Times" w:eastAsia="宋体"/>
          <w:b w:val="0"/>
          <w:sz w:val="20"/>
          <w:lang w:eastAsia="zh-CN"/>
        </w:rPr>
        <w:t xml:space="preserve">, </w:t>
      </w:r>
      <w:r>
        <w:rPr>
          <w:rFonts w:hint="eastAsia" w:ascii="Times" w:hAnsi="Times" w:eastAsia="宋体"/>
          <w:b w:val="0"/>
          <w:sz w:val="20"/>
          <w:lang w:eastAsia="zh-CN"/>
        </w:rPr>
        <w:t>New WID: NR mobility enhancements Phase 4</w:t>
      </w:r>
    </w:p>
    <w:p w14:paraId="7038FF42">
      <w:pPr>
        <w:pStyle w:val="18"/>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w:t>
      </w:r>
      <w:r>
        <w:rPr>
          <w:rFonts w:hint="eastAsia" w:ascii="Times" w:hAnsi="Times" w:eastAsia="宋体"/>
          <w:b w:val="0"/>
          <w:sz w:val="20"/>
          <w:lang w:val="en-US" w:eastAsia="zh-CN"/>
        </w:rPr>
        <w:t>P</w:t>
      </w:r>
      <w:r>
        <w:rPr>
          <w:rFonts w:hint="eastAsia" w:ascii="Times" w:hAnsi="Times" w:eastAsia="宋体"/>
          <w:b w:val="0"/>
          <w:sz w:val="20"/>
          <w:lang w:eastAsia="zh-CN"/>
        </w:rPr>
        <w:t>-2</w:t>
      </w:r>
      <w:r>
        <w:rPr>
          <w:rFonts w:hint="eastAsia" w:ascii="Times" w:hAnsi="Times" w:eastAsia="宋体"/>
          <w:b w:val="0"/>
          <w:sz w:val="20"/>
          <w:lang w:val="en-US" w:eastAsia="zh-CN"/>
        </w:rPr>
        <w:t xml:space="preserve">50339, </w:t>
      </w:r>
      <w:r>
        <w:rPr>
          <w:rFonts w:hint="eastAsia" w:ascii="Times" w:hAnsi="Times" w:eastAsia="宋体"/>
          <w:b w:val="0"/>
          <w:sz w:val="20"/>
          <w:lang w:eastAsia="zh-CN"/>
        </w:rPr>
        <w:t xml:space="preserve">Revised Work Item: NR mobility enhancements Phase 4 </w:t>
      </w:r>
    </w:p>
    <w:p w14:paraId="18DEB0A7">
      <w:pPr>
        <w:pStyle w:val="18"/>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R4-2512141</w:t>
      </w:r>
      <w:r>
        <w:rPr>
          <w:rFonts w:hint="eastAsia" w:ascii="Times" w:hAnsi="Times" w:eastAsia="宋体"/>
          <w:b w:val="0"/>
          <w:sz w:val="20"/>
          <w:lang w:val="en-US" w:eastAsia="zh-CN"/>
        </w:rPr>
        <w:t>,</w:t>
      </w:r>
      <w:r>
        <w:rPr>
          <w:rFonts w:hint="eastAsia" w:ascii="Times" w:hAnsi="Times" w:eastAsia="宋体"/>
          <w:b w:val="0"/>
          <w:sz w:val="20"/>
          <w:lang w:eastAsia="zh-CN"/>
        </w:rPr>
        <w:t xml:space="preserve"> </w:t>
      </w:r>
      <w:r>
        <w:rPr>
          <w:rFonts w:hint="eastAsia" w:ascii="Times" w:hAnsi="Times" w:eastAsia="宋体"/>
          <w:b w:val="0"/>
          <w:sz w:val="20"/>
          <w:lang w:val="en-US" w:eastAsia="zh-CN"/>
        </w:rPr>
        <w:t>WF on RRM requirements for NR_Mob_Ph4_Part1, Apple</w:t>
      </w:r>
    </w:p>
    <w:p w14:paraId="54DA43A8">
      <w:pPr>
        <w:pStyle w:val="18"/>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R4-2508282</w:t>
      </w:r>
      <w:r>
        <w:rPr>
          <w:rFonts w:hint="eastAsia" w:ascii="Times" w:hAnsi="Times" w:eastAsia="宋体"/>
          <w:b w:val="0"/>
          <w:sz w:val="20"/>
          <w:lang w:val="en-US" w:eastAsia="zh-CN"/>
        </w:rPr>
        <w:t>, WF on RRM requirements for NR_Mob_Ph4_Part1, Apple</w:t>
      </w:r>
    </w:p>
    <w:p w14:paraId="7A46E657">
      <w:pPr>
        <w:pStyle w:val="18"/>
        <w:framePr w:wrap="auto" w:vAnchor="margin" w:hAnchor="text" w:yAlign="inline"/>
        <w:ind w:right="400"/>
        <w:jc w:val="both"/>
        <w:rPr>
          <w:rFonts w:hint="eastAsia" w:ascii="Times" w:hAnsi="Times" w:eastAsia="宋体"/>
          <w:b w:val="0"/>
          <w:sz w:val="20"/>
          <w:lang w:val="en-US" w:eastAsia="zh-CN"/>
        </w:rPr>
      </w:pPr>
    </w:p>
    <w:p w14:paraId="6138FC7C"/>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D4B1A6"/>
    <w:multiLevelType w:val="singleLevel"/>
    <w:tmpl w:val="EED4B1A6"/>
    <w:lvl w:ilvl="0" w:tentative="0">
      <w:start w:val="1"/>
      <w:numFmt w:val="bullet"/>
      <w:lvlText w:val=""/>
      <w:lvlJc w:val="left"/>
      <w:pPr>
        <w:tabs>
          <w:tab w:val="left" w:pos="420"/>
        </w:tabs>
        <w:ind w:left="840" w:hanging="420"/>
      </w:pPr>
      <w:rPr>
        <w:rFonts w:hint="default" w:ascii="Wingdings" w:hAnsi="Wingdings"/>
      </w:rPr>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1D703FD1"/>
    <w:multiLevelType w:val="multilevel"/>
    <w:tmpl w:val="1D703FD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1E9EF811"/>
    <w:multiLevelType w:val="singleLevel"/>
    <w:tmpl w:val="1E9EF811"/>
    <w:lvl w:ilvl="0" w:tentative="0">
      <w:start w:val="1"/>
      <w:numFmt w:val="decimal"/>
      <w:suff w:val="space"/>
      <w:lvlText w:val="[%1]"/>
      <w:lvlJc w:val="left"/>
    </w:lvl>
  </w:abstractNum>
  <w:abstractNum w:abstractNumId="4">
    <w:nsid w:val="25E1750E"/>
    <w:multiLevelType w:val="multilevel"/>
    <w:tmpl w:val="25E1750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BC7224C"/>
    <w:multiLevelType w:val="multilevel"/>
    <w:tmpl w:val="2BC7224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num>
  <w:num w:numId="2">
    <w:abstractNumId w:val="5"/>
  </w:num>
  <w:num w:numId="3">
    <w:abstractNumId w:val="1"/>
  </w:num>
  <w:num w:numId="4">
    <w:abstractNumId w:val="6"/>
  </w:num>
  <w:num w:numId="5">
    <w:abstractNumId w:val="4"/>
  </w:num>
  <w:num w:numId="6">
    <w:abstractNumId w:val="2"/>
  </w:num>
  <w:num w:numId="7">
    <w:abstractNumId w:val="0"/>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F1D10"/>
    <w:rsid w:val="03C54999"/>
    <w:rsid w:val="0599059D"/>
    <w:rsid w:val="061B2869"/>
    <w:rsid w:val="06A76524"/>
    <w:rsid w:val="06DB0A8F"/>
    <w:rsid w:val="07195F0C"/>
    <w:rsid w:val="0B0E27F2"/>
    <w:rsid w:val="0B4D5672"/>
    <w:rsid w:val="0C811890"/>
    <w:rsid w:val="0DED4141"/>
    <w:rsid w:val="0FC820D0"/>
    <w:rsid w:val="1097653D"/>
    <w:rsid w:val="114C53CF"/>
    <w:rsid w:val="12BE134B"/>
    <w:rsid w:val="17CF1E32"/>
    <w:rsid w:val="1A610400"/>
    <w:rsid w:val="1B0537E4"/>
    <w:rsid w:val="1D1564D1"/>
    <w:rsid w:val="1D245D5D"/>
    <w:rsid w:val="20716758"/>
    <w:rsid w:val="212E281A"/>
    <w:rsid w:val="22EF5A05"/>
    <w:rsid w:val="23555288"/>
    <w:rsid w:val="23A45F21"/>
    <w:rsid w:val="27740CD4"/>
    <w:rsid w:val="2B6A5B72"/>
    <w:rsid w:val="2B995497"/>
    <w:rsid w:val="2C5A7F66"/>
    <w:rsid w:val="30C469A5"/>
    <w:rsid w:val="31D461CB"/>
    <w:rsid w:val="35B60377"/>
    <w:rsid w:val="3A094EC7"/>
    <w:rsid w:val="3B78668C"/>
    <w:rsid w:val="3C8464D4"/>
    <w:rsid w:val="3DE6740A"/>
    <w:rsid w:val="3E2012CD"/>
    <w:rsid w:val="40555132"/>
    <w:rsid w:val="409969B6"/>
    <w:rsid w:val="416965B3"/>
    <w:rsid w:val="42C3593A"/>
    <w:rsid w:val="44192E3A"/>
    <w:rsid w:val="443F297C"/>
    <w:rsid w:val="4585185F"/>
    <w:rsid w:val="45DF1728"/>
    <w:rsid w:val="473507D2"/>
    <w:rsid w:val="49DB7CF9"/>
    <w:rsid w:val="4ACD5D3A"/>
    <w:rsid w:val="4D34553A"/>
    <w:rsid w:val="4F9B0C98"/>
    <w:rsid w:val="4FCA04C5"/>
    <w:rsid w:val="54C2149E"/>
    <w:rsid w:val="56551307"/>
    <w:rsid w:val="5681017A"/>
    <w:rsid w:val="56BE73D2"/>
    <w:rsid w:val="5A6C76F1"/>
    <w:rsid w:val="5A84202D"/>
    <w:rsid w:val="5C186BE2"/>
    <w:rsid w:val="5D2F6C90"/>
    <w:rsid w:val="5DD75D7F"/>
    <w:rsid w:val="629E5C31"/>
    <w:rsid w:val="62B40F62"/>
    <w:rsid w:val="63A65A71"/>
    <w:rsid w:val="63D11CD0"/>
    <w:rsid w:val="63FF12A3"/>
    <w:rsid w:val="64D70D29"/>
    <w:rsid w:val="6514284A"/>
    <w:rsid w:val="66B81714"/>
    <w:rsid w:val="67360C57"/>
    <w:rsid w:val="68D84F91"/>
    <w:rsid w:val="6DE36C58"/>
    <w:rsid w:val="6F8A1747"/>
    <w:rsid w:val="72901CD2"/>
    <w:rsid w:val="735F40D6"/>
    <w:rsid w:val="7523162A"/>
    <w:rsid w:val="78F4247E"/>
    <w:rsid w:val="79E15C99"/>
    <w:rsid w:val="7B09796A"/>
    <w:rsid w:val="7C401BE6"/>
    <w:rsid w:val="7FC00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paragraph" w:styleId="6">
    <w:name w:val="heading 5"/>
    <w:basedOn w:val="5"/>
    <w:next w:val="1"/>
    <w:qFormat/>
    <w:uiPriority w:val="0"/>
    <w:pPr>
      <w:tabs>
        <w:tab w:val="left" w:pos="1152"/>
        <w:tab w:val="clear" w:pos="864"/>
      </w:tabs>
      <w:ind w:left="1152" w:hanging="1152"/>
      <w:outlineLvl w:val="4"/>
    </w:pPr>
    <w:rPr>
      <w:sz w:val="2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unhideWhenUsed/>
    <w:qFormat/>
    <w:uiPriority w:val="99"/>
    <w:pPr>
      <w:ind w:left="200" w:hanging="200" w:hangingChars="200"/>
      <w:contextualSpacing/>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NO"/>
    <w:basedOn w:val="1"/>
    <w:qFormat/>
    <w:uiPriority w:val="0"/>
    <w:pPr>
      <w:keepLines/>
      <w:ind w:left="1135" w:hanging="851"/>
    </w:pPr>
  </w:style>
  <w:style w:type="paragraph" w:styleId="14">
    <w:name w:val="List Paragraph"/>
    <w:basedOn w:val="1"/>
    <w:qFormat/>
    <w:uiPriority w:val="34"/>
    <w:pPr>
      <w:widowControl/>
      <w:ind w:firstLine="420" w:firstLineChars="200"/>
      <w:jc w:val="left"/>
    </w:pPr>
    <w:rPr>
      <w:rFonts w:ascii="宋体" w:hAnsi="宋体"/>
      <w:kern w:val="0"/>
    </w:rPr>
  </w:style>
  <w:style w:type="paragraph" w:customStyle="1" w:styleId="15">
    <w:name w:val="B1"/>
    <w:basedOn w:val="9"/>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6">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17">
    <w:name w:val="TF"/>
    <w:basedOn w:val="16"/>
    <w:qFormat/>
    <w:uiPriority w:val="0"/>
    <w:pPr>
      <w:keepNext w:val="0"/>
      <w:spacing w:before="0" w:after="240"/>
    </w:p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2024-11-03T00:48:00Z</dcterms:created>
  <dc:creator>cmcc</dc:creator>
  <cp:lastModifiedBy>CMCC-Jingjing</cp:lastModifiedBy>
  <dcterms:modified xsi:type="dcterms:W3CDTF">2025-10-02T02:08:23Z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13EA236B3BF348BFA305056C5C1ABE48</vt:lpwstr>
  </property>
</Properties>
</file>